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724B6" w14:textId="77777777" w:rsidR="00B27506" w:rsidRDefault="009D0662">
      <w:r w:rsidRPr="009D0662">
        <w:t>https://opentextbc.ca/postconfederation/chapter/10-16-sport-and-leisure-in-post-confederation-canada/</w:t>
      </w:r>
      <w:bookmarkStart w:id="0" w:name="_GoBack"/>
      <w:bookmarkEnd w:id="0"/>
    </w:p>
    <w:sectPr w:rsidR="00B27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62"/>
    <w:rsid w:val="009D0662"/>
    <w:rsid w:val="00B2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E83FD"/>
  <w15:chartTrackingRefBased/>
  <w15:docId w15:val="{E9AA291D-CA25-42F0-AD2A-0D09B550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alherwi</dc:creator>
  <cp:keywords/>
  <dc:description/>
  <cp:lastModifiedBy>fares alherwi</cp:lastModifiedBy>
  <cp:revision>1</cp:revision>
  <dcterms:created xsi:type="dcterms:W3CDTF">2020-09-15T03:33:00Z</dcterms:created>
  <dcterms:modified xsi:type="dcterms:W3CDTF">2020-09-15T03:34:00Z</dcterms:modified>
</cp:coreProperties>
</file>